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一、总体情况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（文字描述）</w:t>
      </w:r>
    </w:p>
    <w:p>
      <w:pPr>
        <w:widowControl/>
        <w:spacing w:after="240"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pacing w:after="240"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四、政府信息公开行政复议、行政诉讼情况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（文字描述）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</w:rPr>
        <w:t>六、其他需要报告的事项</w:t>
      </w:r>
    </w:p>
    <w:p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（文字描述）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2020-06-30T08:19:32Z</dcterms:created>
  <dc:creator>Administrator</dc:creator>
  <cp:lastModifiedBy>兜兜麦...</cp:lastModifiedBy>
  <dcterms:modified xsi:type="dcterms:W3CDTF">2020-06-30T08:20:03Z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